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B2CC" w14:textId="6413B342" w:rsidR="00BF3230" w:rsidRDefault="00085EE2">
      <w:pPr>
        <w:rPr>
          <w:b/>
          <w:bCs/>
          <w:smallCaps/>
        </w:rPr>
      </w:pPr>
      <w:r w:rsidRPr="00085EE2">
        <w:rPr>
          <w:b/>
          <w:bCs/>
          <w:smallCaps/>
        </w:rPr>
        <w:t>Bibliografia citata:</w:t>
      </w:r>
    </w:p>
    <w:p w14:paraId="105B1C8C" w14:textId="77777777" w:rsidR="00085EE2" w:rsidRDefault="00085EE2" w:rsidP="00085EE2">
      <w:pPr>
        <w:pStyle w:val="NormaleWeb"/>
        <w:jc w:val="both"/>
      </w:pPr>
      <w:r>
        <w:t xml:space="preserve">Arena G. (2013), </w:t>
      </w:r>
      <w:hyperlink r:id="rId4" w:tgtFrame="_blank" w:history="1">
        <w:r>
          <w:rPr>
            <w:rStyle w:val="Collegamentoipertestuale"/>
            <w:i/>
            <w:iCs/>
            <w:color w:val="3366FF"/>
          </w:rPr>
          <w:t>Le città come beni comuni</w:t>
        </w:r>
      </w:hyperlink>
      <w:r>
        <w:t xml:space="preserve">, in </w:t>
      </w:r>
      <w:proofErr w:type="spellStart"/>
      <w:r>
        <w:t>Labsus</w:t>
      </w:r>
      <w:proofErr w:type="spellEnd"/>
      <w:r>
        <w:t>, articolo consultato in data 20/02/2021</w:t>
      </w:r>
    </w:p>
    <w:p w14:paraId="1262D757" w14:textId="77777777" w:rsidR="00085EE2" w:rsidRDefault="00085EE2" w:rsidP="00085EE2">
      <w:pPr>
        <w:pStyle w:val="NormaleWeb"/>
        <w:jc w:val="both"/>
      </w:pPr>
      <w:r>
        <w:t xml:space="preserve">Davico L., Mela A., </w:t>
      </w:r>
      <w:proofErr w:type="spellStart"/>
      <w:r>
        <w:t>Starico</w:t>
      </w:r>
      <w:proofErr w:type="spellEnd"/>
      <w:r>
        <w:t xml:space="preserve"> L. (2009), </w:t>
      </w:r>
      <w:r>
        <w:rPr>
          <w:rStyle w:val="Enfasicorsivo"/>
        </w:rPr>
        <w:t>La città sostenibile. Una prospettiva sociologica</w:t>
      </w:r>
      <w:r>
        <w:t>, Carocci, Roma</w:t>
      </w:r>
    </w:p>
    <w:p w14:paraId="74EBEC16" w14:textId="77777777" w:rsidR="00085EE2" w:rsidRDefault="00085EE2" w:rsidP="00085EE2">
      <w:pPr>
        <w:pStyle w:val="NormaleWeb"/>
        <w:jc w:val="both"/>
      </w:pPr>
      <w:r>
        <w:t xml:space="preserve">Foster S.R. (2011), </w:t>
      </w:r>
      <w:proofErr w:type="spellStart"/>
      <w:r>
        <w:rPr>
          <w:rStyle w:val="Enfasicorsivo"/>
        </w:rPr>
        <w:t>Collective</w:t>
      </w:r>
      <w:proofErr w:type="spellEnd"/>
      <w:r>
        <w:rPr>
          <w:rStyle w:val="Enfasicorsivo"/>
        </w:rPr>
        <w:t xml:space="preserve"> Action and the Urban Commons</w:t>
      </w:r>
      <w:r>
        <w:t xml:space="preserve">, in «The Notre Dame </w:t>
      </w:r>
      <w:proofErr w:type="spellStart"/>
      <w:r>
        <w:t>law</w:t>
      </w:r>
      <w:proofErr w:type="spellEnd"/>
      <w:r>
        <w:t xml:space="preserve"> review», 81(1), pp. 57-133</w:t>
      </w:r>
    </w:p>
    <w:p w14:paraId="19CCECC6" w14:textId="77777777" w:rsidR="00085EE2" w:rsidRDefault="00085EE2" w:rsidP="00085EE2">
      <w:pPr>
        <w:pStyle w:val="NormaleWeb"/>
        <w:jc w:val="both"/>
      </w:pPr>
      <w:proofErr w:type="spellStart"/>
      <w:r>
        <w:t>Iaione</w:t>
      </w:r>
      <w:proofErr w:type="spellEnd"/>
      <w:r>
        <w:t xml:space="preserve"> C. (2012), </w:t>
      </w:r>
      <w:r>
        <w:rPr>
          <w:rStyle w:val="Enfasicorsivo"/>
        </w:rPr>
        <w:t>Città e beni comuni</w:t>
      </w:r>
      <w:r>
        <w:t xml:space="preserve">; in Arena G., </w:t>
      </w:r>
      <w:proofErr w:type="spellStart"/>
      <w:r>
        <w:t>Iaione</w:t>
      </w:r>
      <w:proofErr w:type="spellEnd"/>
      <w:r>
        <w:t xml:space="preserve"> C. (a cura di), </w:t>
      </w:r>
      <w:r>
        <w:rPr>
          <w:rStyle w:val="Enfasicorsivo"/>
        </w:rPr>
        <w:t>L'Italia dei Beni Comuni</w:t>
      </w:r>
      <w:r>
        <w:t>, Carocci, Roma</w:t>
      </w:r>
    </w:p>
    <w:p w14:paraId="65A4273E" w14:textId="77777777" w:rsidR="00085EE2" w:rsidRDefault="00085EE2" w:rsidP="00085EE2">
      <w:pPr>
        <w:pStyle w:val="NormaleWeb"/>
        <w:jc w:val="both"/>
      </w:pPr>
      <w:proofErr w:type="spellStart"/>
      <w:r>
        <w:t>Iaione</w:t>
      </w:r>
      <w:proofErr w:type="spellEnd"/>
      <w:r>
        <w:t xml:space="preserve"> C. (2015), </w:t>
      </w:r>
      <w:r>
        <w:rPr>
          <w:rStyle w:val="Enfasicorsivo"/>
        </w:rPr>
        <w:t>Beni comuni e innovazione sociale</w:t>
      </w:r>
      <w:r>
        <w:t xml:space="preserve">, in </w:t>
      </w:r>
      <w:r>
        <w:rPr>
          <w:rStyle w:val="Enfasicorsivo"/>
        </w:rPr>
        <w:t>Equilibri</w:t>
      </w:r>
      <w:r>
        <w:t>, 1, pp. 60-72</w:t>
      </w:r>
    </w:p>
    <w:p w14:paraId="65826205" w14:textId="77777777" w:rsidR="00085EE2" w:rsidRDefault="00085EE2" w:rsidP="00085EE2">
      <w:pPr>
        <w:pStyle w:val="NormaleWeb"/>
        <w:jc w:val="both"/>
      </w:pPr>
      <w:proofErr w:type="spellStart"/>
      <w:r>
        <w:t>Labsus</w:t>
      </w:r>
      <w:proofErr w:type="spellEnd"/>
      <w:r>
        <w:t xml:space="preserve"> (2019), </w:t>
      </w:r>
      <w:hyperlink r:id="rId5" w:tgtFrame="_blank" w:history="1">
        <w:r>
          <w:rPr>
            <w:rStyle w:val="Enfasicorsivo"/>
            <w:color w:val="3366FF"/>
          </w:rPr>
          <w:t>Glossario dell’amministrazione condivisa</w:t>
        </w:r>
      </w:hyperlink>
      <w:r>
        <w:t>, articolo consultato in data 20/02/2021.</w:t>
      </w:r>
    </w:p>
    <w:p w14:paraId="55F73441" w14:textId="77777777" w:rsidR="00085EE2" w:rsidRDefault="00085EE2" w:rsidP="00085EE2">
      <w:pPr>
        <w:pStyle w:val="NormaleWeb"/>
        <w:jc w:val="both"/>
      </w:pPr>
      <w:r>
        <w:t xml:space="preserve">Lucci R. (2012) </w:t>
      </w:r>
      <w:r>
        <w:rPr>
          <w:rStyle w:val="Enfasicorsivo"/>
        </w:rPr>
        <w:t>L’area orientale e il paesaggio assemblato</w:t>
      </w:r>
      <w:r>
        <w:t xml:space="preserve">, in Lucci R., Russo M. (a cura di), </w:t>
      </w:r>
      <w:r>
        <w:rPr>
          <w:rStyle w:val="Enfasicorsivo"/>
        </w:rPr>
        <w:t>Napoli verso oriente</w:t>
      </w:r>
      <w:r>
        <w:t xml:space="preserve">, Napoli, </w:t>
      </w:r>
      <w:proofErr w:type="spellStart"/>
      <w:r>
        <w:t>Clean</w:t>
      </w:r>
      <w:proofErr w:type="spellEnd"/>
      <w:r>
        <w:t xml:space="preserve"> edizioni, pp. 13-40</w:t>
      </w:r>
    </w:p>
    <w:p w14:paraId="079C84AC" w14:textId="77777777" w:rsidR="00085EE2" w:rsidRPr="00085EE2" w:rsidRDefault="00085EE2" w:rsidP="00085EE2">
      <w:pPr>
        <w:pStyle w:val="NormaleWeb"/>
        <w:jc w:val="both"/>
        <w:rPr>
          <w:lang w:val="en-GB"/>
        </w:rPr>
      </w:pPr>
      <w:r w:rsidRPr="00085EE2">
        <w:rPr>
          <w:lang w:val="en-GB"/>
        </w:rPr>
        <w:t xml:space="preserve">Lynch, K. (1990), </w:t>
      </w:r>
      <w:r w:rsidRPr="00085EE2">
        <w:rPr>
          <w:rStyle w:val="Enfasicorsivo"/>
          <w:lang w:val="en-GB"/>
        </w:rPr>
        <w:t>Wasting away</w:t>
      </w:r>
      <w:r w:rsidRPr="00085EE2">
        <w:rPr>
          <w:lang w:val="en-GB"/>
        </w:rPr>
        <w:t>, San Francisco, Sierra Club Books</w:t>
      </w:r>
    </w:p>
    <w:p w14:paraId="1A9A72E8" w14:textId="77777777" w:rsidR="00085EE2" w:rsidRDefault="00085EE2" w:rsidP="00085EE2">
      <w:pPr>
        <w:pStyle w:val="NormaleWeb"/>
        <w:jc w:val="both"/>
      </w:pPr>
      <w:r>
        <w:t xml:space="preserve">Mattei U. (2011), </w:t>
      </w:r>
      <w:r>
        <w:rPr>
          <w:rStyle w:val="Enfasicorsivo"/>
        </w:rPr>
        <w:t>Beni comuni. Un manifesto</w:t>
      </w:r>
      <w:r>
        <w:t>, Roma-Bari, Laterza</w:t>
      </w:r>
    </w:p>
    <w:p w14:paraId="3236FF81" w14:textId="77777777" w:rsidR="00085EE2" w:rsidRDefault="00085EE2" w:rsidP="00085EE2">
      <w:pPr>
        <w:pStyle w:val="NormaleWeb"/>
        <w:jc w:val="both"/>
      </w:pPr>
      <w:r w:rsidRPr="00085EE2">
        <w:rPr>
          <w:lang w:val="en-GB"/>
        </w:rPr>
        <w:t xml:space="preserve">Negri A., Hardt M. (2009), </w:t>
      </w:r>
      <w:r w:rsidRPr="00085EE2">
        <w:rPr>
          <w:rStyle w:val="Enfasicorsivo"/>
          <w:lang w:val="en-GB"/>
        </w:rPr>
        <w:t>Commonwealth</w:t>
      </w:r>
      <w:r w:rsidRPr="00085EE2">
        <w:rPr>
          <w:lang w:val="en-GB"/>
        </w:rPr>
        <w:t xml:space="preserve">, Harvard University Press, Harvard 2009; trad. it. </w:t>
      </w:r>
      <w:r>
        <w:rPr>
          <w:rStyle w:val="Enfasicorsivo"/>
        </w:rPr>
        <w:t>Comune. Oltre il privato e il pubblico</w:t>
      </w:r>
      <w:r>
        <w:t>, Rizzoli, Milano 2010</w:t>
      </w:r>
    </w:p>
    <w:p w14:paraId="02F4CDCF" w14:textId="77777777" w:rsidR="00085EE2" w:rsidRDefault="00085EE2" w:rsidP="00085EE2">
      <w:pPr>
        <w:pStyle w:val="NormaleWeb"/>
        <w:jc w:val="both"/>
      </w:pPr>
      <w:r>
        <w:t xml:space="preserve">Salvadori M. (2009), </w:t>
      </w:r>
      <w:r>
        <w:rPr>
          <w:rStyle w:val="Enfasicorsivo"/>
        </w:rPr>
        <w:t>Democrazie senza democrazia</w:t>
      </w:r>
      <w:r>
        <w:t>, Roma, Laterza</w:t>
      </w:r>
    </w:p>
    <w:p w14:paraId="04883ECB" w14:textId="77777777" w:rsidR="00085EE2" w:rsidRDefault="00085EE2" w:rsidP="00085EE2">
      <w:pPr>
        <w:pStyle w:val="NormaleWeb"/>
        <w:jc w:val="both"/>
      </w:pPr>
      <w:r>
        <w:t xml:space="preserve">Vercellone C., Brancaccio F., Giuliani A., Vattimo P. (2017), </w:t>
      </w:r>
      <w:r>
        <w:rPr>
          <w:rStyle w:val="Enfasicorsivo"/>
        </w:rPr>
        <w:t>Il comune come modo di produzione. Per una critica dell’economia </w:t>
      </w:r>
      <w:r>
        <w:rPr>
          <w:i/>
          <w:iCs/>
        </w:rPr>
        <w:t>politica</w:t>
      </w:r>
      <w:r>
        <w:t>, Verona, Ombre Corte</w:t>
      </w:r>
    </w:p>
    <w:p w14:paraId="62D0C44A" w14:textId="77777777" w:rsidR="00085EE2" w:rsidRPr="00085EE2" w:rsidRDefault="00085EE2">
      <w:pPr>
        <w:rPr>
          <w:b/>
          <w:bCs/>
          <w:smallCaps/>
        </w:rPr>
      </w:pPr>
    </w:p>
    <w:sectPr w:rsidR="00085EE2" w:rsidRPr="00085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2"/>
    <w:rsid w:val="00085EE2"/>
    <w:rsid w:val="005E0D53"/>
    <w:rsid w:val="00B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254"/>
  <w15:chartTrackingRefBased/>
  <w15:docId w15:val="{BAB974E6-42CE-4ED9-89EA-AB1D11A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D53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5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85E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8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sus.org/glossario-dellamministrazione-condivisa/" TargetMode="External"/><Relationship Id="rId4" Type="http://schemas.openxmlformats.org/officeDocument/2006/relationships/hyperlink" Target="https://www.labsus.org/2011/12/la-citta-come-bene-comu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Tonanzi</dc:creator>
  <cp:keywords/>
  <dc:description/>
  <cp:lastModifiedBy>Roberta Tonanzi</cp:lastModifiedBy>
  <cp:revision>1</cp:revision>
  <dcterms:created xsi:type="dcterms:W3CDTF">2021-04-25T20:39:00Z</dcterms:created>
  <dcterms:modified xsi:type="dcterms:W3CDTF">2021-04-25T20:40:00Z</dcterms:modified>
</cp:coreProperties>
</file>