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9"/>
          <w:szCs w:val="29"/>
          <w:rtl w:val="0"/>
        </w:rPr>
      </w:pPr>
      <w:r>
        <w:rPr>
          <w:rFonts w:ascii="Times Roman" w:hAnsi="Times Roman"/>
          <w:sz w:val="32"/>
          <w:szCs w:val="32"/>
          <w:rtl w:val="0"/>
          <w:lang w:val="it-IT"/>
        </w:rPr>
        <w:t>Pubblicato il 18/01/2021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9"/>
          <w:szCs w:val="29"/>
          <w:rtl w:val="0"/>
        </w:rPr>
      </w:pPr>
      <w:r>
        <w:rPr>
          <w:rFonts w:ascii="Times Roman" w:hAnsi="Times Roman"/>
          <w:b w:val="1"/>
          <w:bCs w:val="1"/>
          <w:sz w:val="29"/>
          <w:szCs w:val="29"/>
          <w:rtl w:val="0"/>
          <w:lang w:val="en-US"/>
        </w:rPr>
        <w:t>N. 00015/2021 REG.PROV.COLL.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9"/>
          <w:szCs w:val="29"/>
          <w:rtl w:val="0"/>
        </w:rPr>
      </w:pPr>
      <w:r>
        <w:rPr>
          <w:rFonts w:ascii="Times Roman" w:hAnsi="Times Roman"/>
          <w:b w:val="1"/>
          <w:bCs w:val="1"/>
          <w:sz w:val="29"/>
          <w:szCs w:val="29"/>
          <w:rtl w:val="0"/>
          <w:lang w:val="pt-PT"/>
        </w:rPr>
        <w:t>N. 00001/2020 REG.RIC.</w:t>
      </w:r>
    </w:p>
    <w:p>
      <w:pPr>
        <w:pStyle w:val="Di default"/>
        <w:bidi w:val="0"/>
        <w:spacing w:before="0" w:after="32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  <w:drawing xmlns:a="http://schemas.openxmlformats.org/drawingml/2006/main">
          <wp:inline distT="0" distB="0" distL="0" distR="0">
            <wp:extent cx="965200" cy="1104900"/>
            <wp:effectExtent l="0" t="0" r="0" b="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i default"/>
        <w:bidi w:val="0"/>
        <w:spacing w:before="0" w:after="32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</w:rPr>
        <w:t>REPUBBLICA ITALIANA</w:t>
      </w:r>
    </w:p>
    <w:p>
      <w:pPr>
        <w:pStyle w:val="Di default"/>
        <w:bidi w:val="0"/>
        <w:spacing w:before="0" w:after="293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9"/>
          <w:szCs w:val="29"/>
          <w:rtl w:val="0"/>
        </w:rPr>
      </w:pPr>
      <w:r>
        <w:rPr>
          <w:rFonts w:ascii="Times Roman" w:hAnsi="Times Roman"/>
          <w:b w:val="1"/>
          <w:bCs w:val="1"/>
          <w:sz w:val="29"/>
          <w:szCs w:val="29"/>
          <w:rtl w:val="0"/>
        </w:rPr>
        <w:t>IN NOME DEL POPOLO ITALIANO</w:t>
      </w:r>
    </w:p>
    <w:p>
      <w:pPr>
        <w:pStyle w:val="Di default"/>
        <w:bidi w:val="0"/>
        <w:spacing w:before="0" w:after="346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35"/>
          <w:szCs w:val="35"/>
          <w:rtl w:val="0"/>
        </w:rPr>
      </w:pPr>
      <w:r>
        <w:rPr>
          <w:rFonts w:ascii="Times Roman" w:hAnsi="Times Roman"/>
          <w:b w:val="1"/>
          <w:bCs w:val="1"/>
          <w:sz w:val="35"/>
          <w:szCs w:val="35"/>
          <w:rtl w:val="0"/>
          <w:lang w:val="it-IT"/>
        </w:rPr>
        <w:t>Il Tribunale Amministrativo Regionale per il Lazio</w:t>
      </w:r>
    </w:p>
    <w:p>
      <w:pPr>
        <w:pStyle w:val="Di default"/>
        <w:bidi w:val="0"/>
        <w:spacing w:before="0" w:after="346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35"/>
          <w:szCs w:val="35"/>
          <w:rtl w:val="0"/>
        </w:rPr>
      </w:pPr>
      <w:r>
        <w:rPr>
          <w:rFonts w:ascii="Times Roman" w:hAnsi="Times Roman"/>
          <w:b w:val="1"/>
          <w:bCs w:val="1"/>
          <w:sz w:val="35"/>
          <w:szCs w:val="35"/>
          <w:rtl w:val="0"/>
          <w:lang w:val="it-IT"/>
        </w:rPr>
        <w:t>sezione staccata di Latina (Sezione Prima)</w:t>
      </w:r>
    </w:p>
    <w:p>
      <w:pPr>
        <w:pStyle w:val="Di default"/>
        <w:bidi w:val="0"/>
        <w:spacing w:before="0" w:line="240" w:lineRule="auto"/>
        <w:ind w:left="0" w:right="0" w:firstLine="755"/>
        <w:jc w:val="left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ha pronunciato la presente</w:t>
      </w:r>
    </w:p>
    <w:p>
      <w:pPr>
        <w:pStyle w:val="Di default"/>
        <w:bidi w:val="0"/>
        <w:spacing w:before="0" w:after="346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35"/>
          <w:szCs w:val="35"/>
          <w:rtl w:val="0"/>
        </w:rPr>
      </w:pPr>
      <w:r>
        <w:rPr>
          <w:rFonts w:ascii="Times Roman" w:hAnsi="Times Roman"/>
          <w:b w:val="1"/>
          <w:bCs w:val="1"/>
          <w:sz w:val="35"/>
          <w:szCs w:val="35"/>
          <w:rtl w:val="0"/>
          <w:lang w:val="de-DE"/>
        </w:rPr>
        <w:t>SENTENZA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sul ricorso numero di registro generale 1 del 2020, proposto dall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 xml:space="preserve">Associazione sportiva dilettantistica Terracina Vela Club, in persona del legale rappresentante </w:t>
      </w:r>
      <w:r>
        <w:rPr>
          <w:rFonts w:ascii="Times Roman" w:hAnsi="Times Roman"/>
          <w:i w:val="1"/>
          <w:iCs w:val="1"/>
          <w:sz w:val="40"/>
          <w:szCs w:val="40"/>
          <w:rtl w:val="0"/>
        </w:rPr>
        <w:t>p.t.</w:t>
      </w:r>
      <w:r>
        <w:rPr>
          <w:rFonts w:ascii="Times Roman" w:hAnsi="Times Roman"/>
          <w:sz w:val="40"/>
          <w:szCs w:val="40"/>
          <w:rtl w:val="0"/>
          <w:lang w:val="it-IT"/>
        </w:rPr>
        <w:t>, rappresentata e difesa dall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avv. Giovanni Malinconico, con domicilio digitale eletto presso 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 xml:space="preserve">indirizzo di posta elettronica certificata avvgiovannimalinconico@puntopec.it; 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i w:val="1"/>
          <w:iCs w:val="1"/>
          <w:sz w:val="40"/>
          <w:szCs w:val="40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sz w:val="40"/>
          <w:szCs w:val="40"/>
          <w:rtl w:val="0"/>
          <w:lang w:val="it-IT"/>
        </w:rPr>
        <w:t>contro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 xml:space="preserve">Comune di Terracina (LT), in persona del Sindaco </w:t>
      </w:r>
      <w:r>
        <w:rPr>
          <w:rFonts w:ascii="Times Roman" w:hAnsi="Times Roman"/>
          <w:i w:val="1"/>
          <w:iCs w:val="1"/>
          <w:sz w:val="40"/>
          <w:szCs w:val="40"/>
          <w:rtl w:val="0"/>
        </w:rPr>
        <w:t>p.t.</w:t>
      </w:r>
      <w:r>
        <w:rPr>
          <w:rFonts w:ascii="Times Roman" w:hAnsi="Times Roman"/>
          <w:sz w:val="40"/>
          <w:szCs w:val="40"/>
          <w:rtl w:val="0"/>
          <w:lang w:val="it-IT"/>
        </w:rPr>
        <w:t>, rappresentato e difeso dall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avv. Lina Vinci dell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 xml:space="preserve">Avvocatura civica, presso i cui uffici </w:t>
      </w:r>
      <w:r>
        <w:rPr>
          <w:rFonts w:ascii="Times Roman" w:hAnsi="Times Roman" w:hint="default"/>
          <w:sz w:val="40"/>
          <w:szCs w:val="40"/>
          <w:rtl w:val="0"/>
          <w:lang w:val="it-IT"/>
        </w:rPr>
        <w:t xml:space="preserve">è </w:t>
      </w:r>
      <w:r>
        <w:rPr>
          <w:rFonts w:ascii="Times Roman" w:hAnsi="Times Roman"/>
          <w:sz w:val="40"/>
          <w:szCs w:val="40"/>
          <w:rtl w:val="0"/>
          <w:lang w:val="it-IT"/>
        </w:rPr>
        <w:t xml:space="preserve">domiciliato in Terracina, piazza Municipio 1; 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i w:val="1"/>
          <w:iCs w:val="1"/>
          <w:sz w:val="40"/>
          <w:szCs w:val="40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sz w:val="40"/>
          <w:szCs w:val="40"/>
          <w:rtl w:val="0"/>
          <w:lang w:val="it-IT"/>
        </w:rPr>
        <w:t>per l</w:t>
      </w:r>
      <w:r>
        <w:rPr>
          <w:rFonts w:ascii="Times Roman" w:hAnsi="Times Roman" w:hint="default"/>
          <w:b w:val="1"/>
          <w:bCs w:val="1"/>
          <w:i w:val="1"/>
          <w:iCs w:val="1"/>
          <w:sz w:val="40"/>
          <w:szCs w:val="40"/>
          <w:rtl w:val="1"/>
        </w:rPr>
        <w:t>’</w:t>
      </w:r>
      <w:r>
        <w:rPr>
          <w:rFonts w:ascii="Times Roman" w:hAnsi="Times Roman"/>
          <w:b w:val="1"/>
          <w:bCs w:val="1"/>
          <w:i w:val="1"/>
          <w:iCs w:val="1"/>
          <w:sz w:val="40"/>
          <w:szCs w:val="40"/>
          <w:rtl w:val="0"/>
          <w:lang w:val="it-IT"/>
        </w:rPr>
        <w:t>annullamento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 xml:space="preserve">1) della nota del Comune di Terracina prot. n. 58088 del 10 ottobre 2019, notificata il successivo giorno 14, con la quale </w:t>
      </w:r>
      <w:r>
        <w:rPr>
          <w:rFonts w:ascii="Times Roman" w:hAnsi="Times Roman" w:hint="default"/>
          <w:sz w:val="40"/>
          <w:szCs w:val="40"/>
          <w:rtl w:val="0"/>
          <w:lang w:val="it-IT"/>
        </w:rPr>
        <w:t xml:space="preserve">è </w:t>
      </w:r>
      <w:r>
        <w:rPr>
          <w:rFonts w:ascii="Times Roman" w:hAnsi="Times Roman"/>
          <w:sz w:val="40"/>
          <w:szCs w:val="40"/>
          <w:rtl w:val="0"/>
          <w:lang w:val="it-IT"/>
        </w:rPr>
        <w:t>stato ingiunto all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associazione sportiva ricorrente lo sgombero della porzione dell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area demaniale marittima di via del Molo da essa detenuta, giuste determinazione dirigenziale n. 1253 del 16 dicembre 2014 e convenzione rep. n. 710/CONV del 6 novembre 2015 con scadenza 31 dicembre 2017;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2) di ogni altro atto presupposto, connesso e/o conseguente.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Visti il ricorso e i relativi allegati;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Visto 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atto di costituzione in giudizio di Comune di Terracina;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Viste le memorie difensive;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Visti tutti gli atti della causa;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Relatore nell'udienza pubblica del giorno 13 gennaio 2021 il dott. Valerio Torano e uditi per le parti i difensori come specificato nel verbale;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Considerato che con il ricorso all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esame, notificato il 13 dicembre 2019 e depositato il 2 gennaio 2020, 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Associazione sportiva dilettantistica Terracina Vela Club ha impugnato 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ordinanza con cui 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Amministrazione civica le ha intimato lo sgombero dell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area demaniale marittima (pari a una superficie di mq 950,00, oltre a locali in muratura di mq 171,00), da essa detenuta sulla base di una subconcessione stipulata con il medesimo ente locale ai sensi dell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</w:rPr>
        <w:t>art. 45-</w:t>
      </w:r>
      <w:r>
        <w:rPr>
          <w:rFonts w:ascii="Times Roman" w:hAnsi="Times Roman"/>
          <w:i w:val="1"/>
          <w:iCs w:val="1"/>
          <w:sz w:val="40"/>
          <w:szCs w:val="40"/>
          <w:rtl w:val="0"/>
          <w:lang w:val="de-DE"/>
        </w:rPr>
        <w:t>bis</w:t>
      </w:r>
      <w:r>
        <w:rPr>
          <w:rFonts w:ascii="Times Roman" w:hAnsi="Times Roman"/>
          <w:sz w:val="40"/>
          <w:szCs w:val="40"/>
          <w:rtl w:val="0"/>
          <w:lang w:val="it-IT"/>
        </w:rPr>
        <w:t>, cod. nav., giuste determinazione dirigenziale n. 1253 del 16 dicembre 2014 e successiva convenzione rep. n. 710/CONV del 6 novembre 2015 con scadenza al 31 dicembre 2017;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Considerato, in particolare, che parte ricorrente ha dedotto i seguenti vizi di legittimit</w:t>
      </w:r>
      <w:r>
        <w:rPr>
          <w:rFonts w:ascii="Times Roman" w:hAnsi="Times Roman" w:hint="default"/>
          <w:sz w:val="40"/>
          <w:szCs w:val="40"/>
          <w:rtl w:val="0"/>
        </w:rPr>
        <w:t>à</w:t>
      </w:r>
      <w:r>
        <w:rPr>
          <w:rFonts w:ascii="Times Roman" w:hAnsi="Times Roman"/>
          <w:sz w:val="40"/>
          <w:szCs w:val="40"/>
          <w:rtl w:val="0"/>
        </w:rPr>
        <w:t>: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I) violazione dell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art. 4, comma 3, della suddetta convenzione del 6 novembre 2015, oltre a eccesso di potere per perplessit</w:t>
      </w:r>
      <w:r>
        <w:rPr>
          <w:rFonts w:ascii="Times Roman" w:hAnsi="Times Roman" w:hint="default"/>
          <w:sz w:val="40"/>
          <w:szCs w:val="40"/>
          <w:rtl w:val="0"/>
        </w:rPr>
        <w:t xml:space="preserve">à </w:t>
      </w:r>
      <w:r>
        <w:rPr>
          <w:rFonts w:ascii="Times Roman" w:hAnsi="Times Roman"/>
          <w:sz w:val="40"/>
          <w:szCs w:val="40"/>
          <w:rtl w:val="0"/>
          <w:lang w:val="it-IT"/>
        </w:rPr>
        <w:t>dell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azione amministrativa, difetto di motivazione e sviamento, poich</w:t>
      </w:r>
      <w:r>
        <w:rPr>
          <w:rFonts w:ascii="Times Roman" w:hAnsi="Times Roman" w:hint="default"/>
          <w:sz w:val="40"/>
          <w:szCs w:val="40"/>
          <w:rtl w:val="0"/>
          <w:lang w:val="fr-FR"/>
        </w:rPr>
        <w:t xml:space="preserve">é </w:t>
      </w:r>
      <w:r>
        <w:rPr>
          <w:rFonts w:ascii="Times Roman" w:hAnsi="Times Roman"/>
          <w:sz w:val="40"/>
          <w:szCs w:val="40"/>
          <w:rtl w:val="0"/>
          <w:lang w:val="it-IT"/>
        </w:rPr>
        <w:t>il Comune di Terracina non si sarebbe attenuto ai criteri ivi indicati per disporre il rinnovo dell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affidamento e, in particolare, non avrebbe svolto alcuna verifica della qualit</w:t>
      </w:r>
      <w:r>
        <w:rPr>
          <w:rFonts w:ascii="Times Roman" w:hAnsi="Times Roman" w:hint="default"/>
          <w:sz w:val="40"/>
          <w:szCs w:val="40"/>
          <w:rtl w:val="0"/>
        </w:rPr>
        <w:t xml:space="preserve">à </w:t>
      </w:r>
      <w:r>
        <w:rPr>
          <w:rFonts w:ascii="Times Roman" w:hAnsi="Times Roman"/>
          <w:sz w:val="40"/>
          <w:szCs w:val="40"/>
          <w:rtl w:val="0"/>
          <w:lang w:val="it-IT"/>
        </w:rPr>
        <w:t>dei servizi offerti dall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associazione ricorrente, non dando neppure seguito alle istanze da essa formulate al riguardo, ordinando lo sgombero dell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area con la sola motivazione della cessazione degli effetti del titolo;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II) violazione dei principi di buon andamento, legittimo affidamento e leale collaborazione, non avendo il Comune ancora concluso i procedimenti azionati dall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associazione ricorrente e relativi all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area da sgomberare (uno relativo al rinnovo della citata subconcessione, avviato il 5 aprile 2017, 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altro per la temporanea utilizzazione dell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area, che ha preso avvio dall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istanza del 23 gennaio 2018);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III) violazione dei principi di economicit</w:t>
      </w:r>
      <w:r>
        <w:rPr>
          <w:rFonts w:ascii="Times Roman" w:hAnsi="Times Roman" w:hint="default"/>
          <w:sz w:val="40"/>
          <w:szCs w:val="40"/>
          <w:rtl w:val="0"/>
        </w:rPr>
        <w:t xml:space="preserve">à </w:t>
      </w:r>
      <w:r>
        <w:rPr>
          <w:rFonts w:ascii="Times Roman" w:hAnsi="Times Roman"/>
          <w:sz w:val="40"/>
          <w:szCs w:val="40"/>
          <w:rtl w:val="0"/>
          <w:lang w:val="it-IT"/>
        </w:rPr>
        <w:t>ed efficacia dell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azione amministrativa, giacch</w:t>
      </w:r>
      <w:r>
        <w:rPr>
          <w:rFonts w:ascii="Times Roman" w:hAnsi="Times Roman" w:hint="default"/>
          <w:sz w:val="40"/>
          <w:szCs w:val="40"/>
          <w:rtl w:val="0"/>
          <w:lang w:val="fr-FR"/>
        </w:rPr>
        <w:t xml:space="preserve">é </w:t>
      </w:r>
      <w:r>
        <w:rPr>
          <w:rFonts w:ascii="Times Roman" w:hAnsi="Times Roman"/>
          <w:sz w:val="40"/>
          <w:szCs w:val="40"/>
          <w:rtl w:val="0"/>
          <w:lang w:val="it-IT"/>
        </w:rPr>
        <w:t>il Comune di Terracina avrebbe inopinatamente preferito sgomberare un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area attualmente in uso per un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attivit</w:t>
      </w:r>
      <w:r>
        <w:rPr>
          <w:rFonts w:ascii="Times Roman" w:hAnsi="Times Roman" w:hint="default"/>
          <w:sz w:val="40"/>
          <w:szCs w:val="40"/>
          <w:rtl w:val="0"/>
        </w:rPr>
        <w:t xml:space="preserve">à </w:t>
      </w:r>
      <w:r>
        <w:rPr>
          <w:rFonts w:ascii="Times Roman" w:hAnsi="Times Roman"/>
          <w:sz w:val="40"/>
          <w:szCs w:val="40"/>
          <w:rtl w:val="0"/>
          <w:lang w:val="it-IT"/>
        </w:rPr>
        <w:t>socialmente utile, che costituisce solo una porzione minima di una pi</w:t>
      </w:r>
      <w:r>
        <w:rPr>
          <w:rFonts w:ascii="Times Roman" w:hAnsi="Times Roman" w:hint="default"/>
          <w:sz w:val="40"/>
          <w:szCs w:val="40"/>
          <w:rtl w:val="0"/>
          <w:lang w:val="it-IT"/>
        </w:rPr>
        <w:t xml:space="preserve">ù </w:t>
      </w:r>
      <w:r>
        <w:rPr>
          <w:rFonts w:ascii="Times Roman" w:hAnsi="Times Roman"/>
          <w:sz w:val="40"/>
          <w:szCs w:val="40"/>
          <w:rtl w:val="0"/>
          <w:lang w:val="it-IT"/>
        </w:rPr>
        <w:t>ampia estensione demaniale, per riservarne integralmente 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uso per futuri e solo teoricamente possibili eventi da organizzare;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IV) violazione del principio di c.d. sussidiariet</w:t>
      </w:r>
      <w:r>
        <w:rPr>
          <w:rFonts w:ascii="Times Roman" w:hAnsi="Times Roman" w:hint="default"/>
          <w:sz w:val="40"/>
          <w:szCs w:val="40"/>
          <w:rtl w:val="0"/>
        </w:rPr>
        <w:t xml:space="preserve">à </w:t>
      </w:r>
      <w:r>
        <w:rPr>
          <w:rFonts w:ascii="Times Roman" w:hAnsi="Times Roman"/>
          <w:sz w:val="40"/>
          <w:szCs w:val="40"/>
          <w:rtl w:val="0"/>
          <w:lang w:val="it-IT"/>
        </w:rPr>
        <w:t>orizzontale di cui all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art. 118, comma 4, Cost., dato che lo sgombero gravato impedirebbe un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iniziativa di cittadini associati rivolta ad un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attivit</w:t>
      </w:r>
      <w:r>
        <w:rPr>
          <w:rFonts w:ascii="Times Roman" w:hAnsi="Times Roman" w:hint="default"/>
          <w:sz w:val="40"/>
          <w:szCs w:val="40"/>
          <w:rtl w:val="0"/>
        </w:rPr>
        <w:t xml:space="preserve">à </w:t>
      </w:r>
      <w:r>
        <w:rPr>
          <w:rFonts w:ascii="Times Roman" w:hAnsi="Times Roman"/>
          <w:sz w:val="40"/>
          <w:szCs w:val="40"/>
          <w:rtl w:val="0"/>
          <w:lang w:val="it-IT"/>
        </w:rPr>
        <w:t>di pubblico interesse;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Ritenuto in via preliminare che, contrariamente a quanto eccepito in via preliminare dal Comune di Terracina, sussista la giurisdizione del giudice amministrativo, poich</w:t>
      </w:r>
      <w:r>
        <w:rPr>
          <w:rFonts w:ascii="Times Roman" w:hAnsi="Times Roman" w:hint="default"/>
          <w:sz w:val="40"/>
          <w:szCs w:val="40"/>
          <w:rtl w:val="0"/>
          <w:lang w:val="fr-FR"/>
        </w:rPr>
        <w:t xml:space="preserve">é </w:t>
      </w:r>
      <w:r>
        <w:rPr>
          <w:rFonts w:ascii="Times Roman" w:hAnsi="Times Roman"/>
          <w:sz w:val="40"/>
          <w:szCs w:val="40"/>
          <w:rtl w:val="0"/>
          <w:lang w:val="it-IT"/>
        </w:rPr>
        <w:t xml:space="preserve">nel caso in esame non </w:t>
      </w:r>
      <w:r>
        <w:rPr>
          <w:rFonts w:ascii="Times Roman" w:hAnsi="Times Roman" w:hint="default"/>
          <w:sz w:val="40"/>
          <w:szCs w:val="40"/>
          <w:rtl w:val="0"/>
          <w:lang w:val="it-IT"/>
        </w:rPr>
        <w:t xml:space="preserve">è </w:t>
      </w:r>
      <w:r>
        <w:rPr>
          <w:rFonts w:ascii="Times Roman" w:hAnsi="Times Roman"/>
          <w:sz w:val="40"/>
          <w:szCs w:val="40"/>
          <w:rtl w:val="0"/>
          <w:lang w:val="it-IT"/>
        </w:rPr>
        <w:t>in contestazione la natura pubblica dell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area, ma si verte in tema di legittimit</w:t>
      </w:r>
      <w:r>
        <w:rPr>
          <w:rFonts w:ascii="Times Roman" w:hAnsi="Times Roman" w:hint="default"/>
          <w:sz w:val="40"/>
          <w:szCs w:val="40"/>
          <w:rtl w:val="0"/>
        </w:rPr>
        <w:t xml:space="preserve">à </w:t>
      </w:r>
      <w:r>
        <w:rPr>
          <w:rFonts w:ascii="Times Roman" w:hAnsi="Times Roman"/>
          <w:sz w:val="40"/>
          <w:szCs w:val="40"/>
          <w:rtl w:val="0"/>
          <w:lang w:val="it-IT"/>
        </w:rPr>
        <w:t>di un atto di esercizio dell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autotutela demaniale, cio</w:t>
      </w:r>
      <w:r>
        <w:rPr>
          <w:rFonts w:ascii="Times Roman" w:hAnsi="Times Roman" w:hint="default"/>
          <w:sz w:val="40"/>
          <w:szCs w:val="40"/>
          <w:rtl w:val="0"/>
          <w:lang w:val="it-IT"/>
        </w:rPr>
        <w:t xml:space="preserve">è </w:t>
      </w:r>
      <w:r>
        <w:rPr>
          <w:rFonts w:ascii="Times Roman" w:hAnsi="Times Roman"/>
          <w:sz w:val="40"/>
          <w:szCs w:val="40"/>
          <w:rtl w:val="0"/>
          <w:lang w:val="it-IT"/>
        </w:rPr>
        <w:t>dell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esercizio di poteri pubblicistici volti al recupero unilaterale della disponibilit</w:t>
      </w:r>
      <w:r>
        <w:rPr>
          <w:rFonts w:ascii="Times Roman" w:hAnsi="Times Roman" w:hint="default"/>
          <w:sz w:val="40"/>
          <w:szCs w:val="40"/>
          <w:rtl w:val="0"/>
        </w:rPr>
        <w:t xml:space="preserve">à </w:t>
      </w:r>
      <w:r>
        <w:rPr>
          <w:rFonts w:ascii="Times Roman" w:hAnsi="Times Roman"/>
          <w:sz w:val="40"/>
          <w:szCs w:val="40"/>
          <w:rtl w:val="0"/>
          <w:lang w:val="it-IT"/>
        </w:rPr>
        <w:t>di un bene immobile senza dover ricorrere all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ordine di un giudice, come sarebbe costretto a fare un qualunque altro privato proprietario (Cons. Stato, sez. V, 7 maggio 2018 n. 2688; TAR Calabria, Catanzaro, sez. II, 27 aprile 2020 n. 732);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Ritenuto che il primo mezzo di impugnazione sia destituito di fondamento poich</w:t>
      </w:r>
      <w:r>
        <w:rPr>
          <w:rFonts w:ascii="Times Roman" w:hAnsi="Times Roman" w:hint="default"/>
          <w:sz w:val="40"/>
          <w:szCs w:val="40"/>
          <w:rtl w:val="0"/>
          <w:lang w:val="fr-FR"/>
        </w:rPr>
        <w:t>é</w:t>
      </w:r>
      <w:r>
        <w:rPr>
          <w:rFonts w:ascii="Times Roman" w:hAnsi="Times Roman"/>
          <w:sz w:val="40"/>
          <w:szCs w:val="40"/>
          <w:rtl w:val="0"/>
        </w:rPr>
        <w:t xml:space="preserve">: </w:t>
      </w:r>
      <w:r>
        <w:rPr>
          <w:rFonts w:ascii="Times Roman" w:hAnsi="Times Roman"/>
          <w:i w:val="1"/>
          <w:iCs w:val="1"/>
          <w:sz w:val="40"/>
          <w:szCs w:val="40"/>
          <w:rtl w:val="0"/>
        </w:rPr>
        <w:t>a)</w:t>
      </w:r>
      <w:r>
        <w:rPr>
          <w:rFonts w:ascii="Times Roman" w:hAnsi="Times Roman"/>
          <w:sz w:val="40"/>
          <w:szCs w:val="40"/>
          <w:rtl w:val="0"/>
          <w:lang w:val="it-IT"/>
        </w:rPr>
        <w:t xml:space="preserve"> al 10 ottobre 2019, data di adozione dell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ordine di sgombero qui gravato, la convenzione conclusa tra il Comune di Terracina e 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associazione ricorrente era gi</w:t>
      </w:r>
      <w:r>
        <w:rPr>
          <w:rFonts w:ascii="Times Roman" w:hAnsi="Times Roman" w:hint="default"/>
          <w:sz w:val="40"/>
          <w:szCs w:val="40"/>
          <w:rtl w:val="0"/>
        </w:rPr>
        <w:t xml:space="preserve">à </w:t>
      </w:r>
      <w:r>
        <w:rPr>
          <w:rFonts w:ascii="Times Roman" w:hAnsi="Times Roman"/>
          <w:sz w:val="40"/>
          <w:szCs w:val="40"/>
          <w:rtl w:val="0"/>
          <w:lang w:val="it-IT"/>
        </w:rPr>
        <w:t>scaduta da quasi due anni, s</w:t>
      </w:r>
      <w:r>
        <w:rPr>
          <w:rFonts w:ascii="Times Roman" w:hAnsi="Times Roman" w:hint="default"/>
          <w:sz w:val="40"/>
          <w:szCs w:val="40"/>
          <w:rtl w:val="0"/>
        </w:rPr>
        <w:t xml:space="preserve">ì </w:t>
      </w:r>
      <w:r>
        <w:rPr>
          <w:rFonts w:ascii="Times Roman" w:hAnsi="Times Roman"/>
          <w:sz w:val="40"/>
          <w:szCs w:val="40"/>
          <w:rtl w:val="0"/>
          <w:lang w:val="it-IT"/>
        </w:rPr>
        <w:t>che la ricorrente aveva la detenzione dell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 xml:space="preserve">area ormai </w:t>
      </w:r>
      <w:r>
        <w:rPr>
          <w:rFonts w:ascii="Times Roman" w:hAnsi="Times Roman"/>
          <w:i w:val="1"/>
          <w:iCs w:val="1"/>
          <w:sz w:val="40"/>
          <w:szCs w:val="40"/>
          <w:rtl w:val="0"/>
        </w:rPr>
        <w:t>sine titulo</w:t>
      </w:r>
      <w:r>
        <w:rPr>
          <w:rFonts w:ascii="Times Roman" w:hAnsi="Times Roman"/>
          <w:sz w:val="40"/>
          <w:szCs w:val="40"/>
          <w:rtl w:val="0"/>
        </w:rPr>
        <w:t xml:space="preserve">; </w:t>
      </w:r>
      <w:r>
        <w:rPr>
          <w:rFonts w:ascii="Times Roman" w:hAnsi="Times Roman"/>
          <w:i w:val="1"/>
          <w:iCs w:val="1"/>
          <w:sz w:val="40"/>
          <w:szCs w:val="40"/>
          <w:rtl w:val="0"/>
        </w:rPr>
        <w:t>b)</w:t>
      </w:r>
      <w:r>
        <w:rPr>
          <w:rFonts w:ascii="Times Roman" w:hAnsi="Times Roman"/>
          <w:sz w:val="40"/>
          <w:szCs w:val="40"/>
          <w:rtl w:val="0"/>
        </w:rPr>
        <w:t xml:space="preserve"> 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art. 4 della stessa convenzione del 6 novembre 2015 prevede, in prima battuta, la facolt</w:t>
      </w:r>
      <w:r>
        <w:rPr>
          <w:rFonts w:ascii="Times Roman" w:hAnsi="Times Roman" w:hint="default"/>
          <w:sz w:val="40"/>
          <w:szCs w:val="40"/>
          <w:rtl w:val="0"/>
        </w:rPr>
        <w:t xml:space="preserve">à </w:t>
      </w:r>
      <w:r>
        <w:rPr>
          <w:rFonts w:ascii="Times Roman" w:hAnsi="Times Roman"/>
          <w:sz w:val="40"/>
          <w:szCs w:val="40"/>
          <w:rtl w:val="0"/>
          <w:lang w:val="it-IT"/>
        </w:rPr>
        <w:t>dell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Amministrazione civica, alla scadenza del titolo, di procedere a un nuovo affidamento della stessa a mezzo di selezione pubblica, anche come parte di una pi</w:t>
      </w:r>
      <w:r>
        <w:rPr>
          <w:rFonts w:ascii="Times Roman" w:hAnsi="Times Roman" w:hint="default"/>
          <w:sz w:val="40"/>
          <w:szCs w:val="40"/>
          <w:rtl w:val="0"/>
          <w:lang w:val="it-IT"/>
        </w:rPr>
        <w:t xml:space="preserve">ù </w:t>
      </w:r>
      <w:r>
        <w:rPr>
          <w:rFonts w:ascii="Times Roman" w:hAnsi="Times Roman"/>
          <w:sz w:val="40"/>
          <w:szCs w:val="40"/>
          <w:rtl w:val="0"/>
          <w:lang w:val="it-IT"/>
        </w:rPr>
        <w:t>vasta area demaniale marittima gestita dall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 xml:space="preserve">Amministrazione civica sulla base della concessione n. TE-043; </w:t>
      </w:r>
      <w:r>
        <w:rPr>
          <w:rFonts w:ascii="Times Roman" w:hAnsi="Times Roman"/>
          <w:i w:val="1"/>
          <w:iCs w:val="1"/>
          <w:sz w:val="40"/>
          <w:szCs w:val="40"/>
          <w:rtl w:val="0"/>
        </w:rPr>
        <w:t>c)</w:t>
      </w:r>
      <w:r>
        <w:rPr>
          <w:rFonts w:ascii="Times Roman" w:hAnsi="Times Roman"/>
          <w:sz w:val="40"/>
          <w:szCs w:val="40"/>
          <w:rtl w:val="0"/>
          <w:lang w:val="it-IT"/>
        </w:rPr>
        <w:t xml:space="preserve"> la possibilit</w:t>
      </w:r>
      <w:r>
        <w:rPr>
          <w:rFonts w:ascii="Times Roman" w:hAnsi="Times Roman" w:hint="default"/>
          <w:sz w:val="40"/>
          <w:szCs w:val="40"/>
          <w:rtl w:val="0"/>
        </w:rPr>
        <w:t xml:space="preserve">à </w:t>
      </w:r>
      <w:r>
        <w:rPr>
          <w:rFonts w:ascii="Times Roman" w:hAnsi="Times Roman"/>
          <w:sz w:val="40"/>
          <w:szCs w:val="40"/>
          <w:rtl w:val="0"/>
          <w:lang w:val="it-IT"/>
        </w:rPr>
        <w:t xml:space="preserve">di rinnovo del precedente affidamento </w:t>
      </w:r>
      <w:r>
        <w:rPr>
          <w:rFonts w:ascii="Times Roman" w:hAnsi="Times Roman" w:hint="default"/>
          <w:sz w:val="40"/>
          <w:szCs w:val="40"/>
          <w:rtl w:val="0"/>
          <w:lang w:val="it-IT"/>
        </w:rPr>
        <w:t xml:space="preserve">è </w:t>
      </w:r>
      <w:r>
        <w:rPr>
          <w:rFonts w:ascii="Times Roman" w:hAnsi="Times Roman"/>
          <w:sz w:val="40"/>
          <w:szCs w:val="40"/>
          <w:rtl w:val="0"/>
          <w:lang w:val="it-IT"/>
        </w:rPr>
        <w:t>ipotesi recessiva rispetto all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esperimento della selezione pubblica e, se fosse stata perseguita, avrebbe effettivamente reso necessaria la valutazione della qualit</w:t>
      </w:r>
      <w:r>
        <w:rPr>
          <w:rFonts w:ascii="Times Roman" w:hAnsi="Times Roman" w:hint="default"/>
          <w:sz w:val="40"/>
          <w:szCs w:val="40"/>
          <w:rtl w:val="0"/>
        </w:rPr>
        <w:t xml:space="preserve">à </w:t>
      </w:r>
      <w:r>
        <w:rPr>
          <w:rFonts w:ascii="Times Roman" w:hAnsi="Times Roman"/>
          <w:sz w:val="40"/>
          <w:szCs w:val="40"/>
          <w:rtl w:val="0"/>
          <w:lang w:val="it-IT"/>
        </w:rPr>
        <w:t xml:space="preserve">dei servizi resi dal club velico ricorrente; </w:t>
      </w:r>
      <w:r>
        <w:rPr>
          <w:rFonts w:ascii="Times Roman" w:hAnsi="Times Roman"/>
          <w:i w:val="1"/>
          <w:iCs w:val="1"/>
          <w:sz w:val="40"/>
          <w:szCs w:val="40"/>
          <w:rtl w:val="0"/>
        </w:rPr>
        <w:t>d)</w:t>
      </w:r>
      <w:r>
        <w:rPr>
          <w:rFonts w:ascii="Times Roman" w:hAnsi="Times Roman"/>
          <w:sz w:val="40"/>
          <w:szCs w:val="40"/>
          <w:rtl w:val="0"/>
          <w:lang w:val="it-IT"/>
        </w:rPr>
        <w:t xml:space="preserve"> la procedura selettiva in discorso risulta essersi svolta sulla base della deliberazione di Giunta municipale n. 169 del 2 agosto 2018 e del susseguente avviso pubblico prot. n. 60362 dell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11 ottobre 2018, ma ad essa 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 xml:space="preserve">odierna ricorrente non ha partecipato; </w:t>
      </w:r>
      <w:r>
        <w:rPr>
          <w:rFonts w:ascii="Times Roman" w:hAnsi="Times Roman"/>
          <w:i w:val="1"/>
          <w:iCs w:val="1"/>
          <w:sz w:val="40"/>
          <w:szCs w:val="40"/>
          <w:rtl w:val="0"/>
        </w:rPr>
        <w:t>e)</w:t>
      </w:r>
      <w:r>
        <w:rPr>
          <w:rFonts w:ascii="Times Roman" w:hAnsi="Times Roman"/>
          <w:sz w:val="40"/>
          <w:szCs w:val="40"/>
          <w:rtl w:val="0"/>
          <w:lang w:val="it-IT"/>
        </w:rPr>
        <w:t xml:space="preserve"> di tali intendimenti del Comune di Terracina il circolo velico ricorrente era consapevole sin dalla ricezione della nota municipale prot. n. 16516 del 6 marzo 2018;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Ritenuto che anche il secondo motivo di ricorso non possa trovare accoglimento, poich</w:t>
      </w:r>
      <w:r>
        <w:rPr>
          <w:rFonts w:ascii="Times Roman" w:hAnsi="Times Roman" w:hint="default"/>
          <w:sz w:val="40"/>
          <w:szCs w:val="40"/>
          <w:rtl w:val="0"/>
          <w:lang w:val="fr-FR"/>
        </w:rPr>
        <w:t xml:space="preserve">é </w:t>
      </w:r>
      <w:r>
        <w:rPr>
          <w:rFonts w:ascii="Times Roman" w:hAnsi="Times Roman"/>
          <w:sz w:val="40"/>
          <w:szCs w:val="40"/>
          <w:rtl w:val="0"/>
          <w:lang w:val="it-IT"/>
        </w:rPr>
        <w:t>il Comune resistente ha riscontrato le richieste inoltrate dall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 xml:space="preserve">associazione ricorrente con la citata nota prot. n. 16516 del 6 marzo 2018, in cui </w:t>
      </w:r>
      <w:r>
        <w:rPr>
          <w:rFonts w:ascii="Times Roman" w:hAnsi="Times Roman" w:hint="default"/>
          <w:sz w:val="40"/>
          <w:szCs w:val="40"/>
          <w:rtl w:val="0"/>
          <w:lang w:val="it-IT"/>
        </w:rPr>
        <w:t xml:space="preserve">è </w:t>
      </w:r>
      <w:r>
        <w:rPr>
          <w:rFonts w:ascii="Times Roman" w:hAnsi="Times Roman"/>
          <w:sz w:val="40"/>
          <w:szCs w:val="40"/>
          <w:rtl w:val="0"/>
          <w:lang w:val="it-IT"/>
        </w:rPr>
        <w:t>chiaramente rappresentato che 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 xml:space="preserve">Amministrazione civica </w:t>
      </w:r>
      <w:r>
        <w:rPr>
          <w:rFonts w:ascii="Times Roman" w:hAnsi="Times Roman" w:hint="default"/>
          <w:sz w:val="40"/>
          <w:szCs w:val="40"/>
          <w:rtl w:val="1"/>
          <w:lang w:val="ar-SA" w:bidi="ar-SA"/>
        </w:rPr>
        <w:t>“</w:t>
      </w:r>
      <w:r>
        <w:rPr>
          <w:rFonts w:ascii="Times Roman" w:hAnsi="Times Roman"/>
          <w:i w:val="1"/>
          <w:iCs w:val="1"/>
          <w:sz w:val="40"/>
          <w:szCs w:val="40"/>
          <w:rtl w:val="0"/>
          <w:lang w:val="it-IT"/>
        </w:rPr>
        <w:t>pur dando atto degli scopi sociali perseguiti</w:t>
      </w:r>
      <w:r>
        <w:rPr>
          <w:rFonts w:ascii="Times Roman" w:hAnsi="Times Roman" w:hint="default"/>
          <w:sz w:val="40"/>
          <w:szCs w:val="40"/>
          <w:rtl w:val="0"/>
        </w:rPr>
        <w:t xml:space="preserve">” </w:t>
      </w:r>
      <w:r>
        <w:rPr>
          <w:rFonts w:ascii="Times Roman" w:hAnsi="Times Roman"/>
          <w:sz w:val="40"/>
          <w:szCs w:val="40"/>
          <w:rtl w:val="0"/>
          <w:lang w:val="it-IT"/>
        </w:rPr>
        <w:t xml:space="preserve">da detto circolo velico, nondimeno </w:t>
      </w:r>
      <w:r>
        <w:rPr>
          <w:rFonts w:ascii="Times Roman" w:hAnsi="Times Roman" w:hint="default"/>
          <w:sz w:val="40"/>
          <w:szCs w:val="40"/>
          <w:rtl w:val="1"/>
          <w:lang w:val="ar-SA" w:bidi="ar-SA"/>
        </w:rPr>
        <w:t>“</w:t>
      </w:r>
      <w:r>
        <w:rPr>
          <w:rFonts w:ascii="Times Roman" w:hAnsi="Times Roman"/>
          <w:i w:val="1"/>
          <w:iCs w:val="1"/>
          <w:sz w:val="40"/>
          <w:szCs w:val="40"/>
          <w:rtl w:val="0"/>
          <w:lang w:val="it-IT"/>
        </w:rPr>
        <w:t>ha deciso di valutare le stesse in relazione ad un uso pi</w:t>
      </w:r>
      <w:r>
        <w:rPr>
          <w:rFonts w:ascii="Times Roman" w:hAnsi="Times Roman" w:hint="default"/>
          <w:i w:val="1"/>
          <w:iCs w:val="1"/>
          <w:sz w:val="40"/>
          <w:szCs w:val="40"/>
          <w:rtl w:val="0"/>
          <w:lang w:val="it-IT"/>
        </w:rPr>
        <w:t xml:space="preserve">ù </w:t>
      </w:r>
      <w:r>
        <w:rPr>
          <w:rFonts w:ascii="Times Roman" w:hAnsi="Times Roman"/>
          <w:i w:val="1"/>
          <w:iCs w:val="1"/>
          <w:sz w:val="40"/>
          <w:szCs w:val="40"/>
          <w:rtl w:val="0"/>
          <w:lang w:val="it-IT"/>
        </w:rPr>
        <w:t>ampio ed organico dell</w:t>
      </w:r>
      <w:r>
        <w:rPr>
          <w:rFonts w:ascii="Times Roman" w:hAnsi="Times Roman" w:hint="default"/>
          <w:i w:val="1"/>
          <w:iCs w:val="1"/>
          <w:sz w:val="40"/>
          <w:szCs w:val="40"/>
          <w:rtl w:val="1"/>
        </w:rPr>
        <w:t>’</w:t>
      </w:r>
      <w:r>
        <w:rPr>
          <w:rFonts w:ascii="Times Roman" w:hAnsi="Times Roman"/>
          <w:i w:val="1"/>
          <w:iCs w:val="1"/>
          <w:sz w:val="40"/>
          <w:szCs w:val="40"/>
          <w:rtl w:val="0"/>
          <w:lang w:val="it-IT"/>
        </w:rPr>
        <w:t>intera area in concessione al fine di ottimizzarne la fruizione</w:t>
      </w:r>
      <w:r>
        <w:rPr>
          <w:rFonts w:ascii="Times Roman" w:hAnsi="Times Roman" w:hint="default"/>
          <w:sz w:val="40"/>
          <w:szCs w:val="40"/>
          <w:rtl w:val="0"/>
        </w:rPr>
        <w:t>”</w:t>
      </w:r>
      <w:r>
        <w:rPr>
          <w:rFonts w:ascii="Times Roman" w:hAnsi="Times Roman"/>
          <w:sz w:val="40"/>
          <w:szCs w:val="40"/>
          <w:rtl w:val="0"/>
          <w:lang w:val="it-IT"/>
        </w:rPr>
        <w:t>, esprimendo cos</w:t>
      </w:r>
      <w:r>
        <w:rPr>
          <w:rFonts w:ascii="Times Roman" w:hAnsi="Times Roman" w:hint="default"/>
          <w:sz w:val="40"/>
          <w:szCs w:val="40"/>
          <w:rtl w:val="0"/>
        </w:rPr>
        <w:t xml:space="preserve">ì </w:t>
      </w:r>
      <w:r>
        <w:rPr>
          <w:rFonts w:ascii="Times Roman" w:hAnsi="Times Roman"/>
          <w:sz w:val="40"/>
          <w:szCs w:val="40"/>
          <w:rtl w:val="0"/>
          <w:lang w:val="it-IT"/>
        </w:rPr>
        <w:t>una volont</w:t>
      </w:r>
      <w:r>
        <w:rPr>
          <w:rFonts w:ascii="Times Roman" w:hAnsi="Times Roman" w:hint="default"/>
          <w:sz w:val="40"/>
          <w:szCs w:val="40"/>
          <w:rtl w:val="0"/>
        </w:rPr>
        <w:t xml:space="preserve">à </w:t>
      </w:r>
      <w:r>
        <w:rPr>
          <w:rFonts w:ascii="Times Roman" w:hAnsi="Times Roman"/>
          <w:sz w:val="40"/>
          <w:szCs w:val="40"/>
          <w:rtl w:val="0"/>
          <w:lang w:val="it-IT"/>
        </w:rPr>
        <w:t>di segno evidentemente incompatibile rispetto all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 xml:space="preserve">accoglimento delle richieste da esso formulate, che non </w:t>
      </w:r>
      <w:r>
        <w:rPr>
          <w:rFonts w:ascii="Times Roman" w:hAnsi="Times Roman" w:hint="default"/>
          <w:sz w:val="40"/>
          <w:szCs w:val="40"/>
          <w:rtl w:val="0"/>
          <w:lang w:val="it-IT"/>
        </w:rPr>
        <w:t xml:space="preserve">è </w:t>
      </w:r>
      <w:r>
        <w:rPr>
          <w:rFonts w:ascii="Times Roman" w:hAnsi="Times Roman"/>
          <w:sz w:val="40"/>
          <w:szCs w:val="40"/>
          <w:rtl w:val="0"/>
          <w:lang w:val="it-IT"/>
        </w:rPr>
        <w:t>stata a suo tempo contestata in giudizio;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Ritenuto che pure il terzo ordine di censure non possa essere favorevolmente scrutinato poich</w:t>
      </w:r>
      <w:r>
        <w:rPr>
          <w:rFonts w:ascii="Times Roman" w:hAnsi="Times Roman" w:hint="default"/>
          <w:sz w:val="40"/>
          <w:szCs w:val="40"/>
          <w:rtl w:val="0"/>
          <w:lang w:val="fr-FR"/>
        </w:rPr>
        <w:t xml:space="preserve">é </w:t>
      </w:r>
      <w:r>
        <w:rPr>
          <w:rFonts w:ascii="Times Roman" w:hAnsi="Times Roman"/>
          <w:sz w:val="40"/>
          <w:szCs w:val="40"/>
          <w:rtl w:val="0"/>
          <w:lang w:val="it-IT"/>
        </w:rPr>
        <w:t>le scelte sulla concessione a privati dei beni pubblici hanno natura ampiamente discrezionale (cfr. Cons. Stato, sez. VI, 7 marzo 2016 n. 892; TAR Sardegna, sez. I, 15 giugno 2017 n. 405; TAR Puglia, Lecce, sez. I, 28 novembre 2016 n. 1820) e parte ricorrente non ha dedotto, n</w:t>
      </w:r>
      <w:r>
        <w:rPr>
          <w:rFonts w:ascii="Times Roman" w:hAnsi="Times Roman" w:hint="default"/>
          <w:sz w:val="40"/>
          <w:szCs w:val="40"/>
          <w:rtl w:val="0"/>
          <w:lang w:val="fr-FR"/>
        </w:rPr>
        <w:t xml:space="preserve">é </w:t>
      </w:r>
      <w:r>
        <w:rPr>
          <w:rFonts w:ascii="Times Roman" w:hAnsi="Times Roman"/>
          <w:sz w:val="40"/>
          <w:szCs w:val="40"/>
          <w:rtl w:val="0"/>
          <w:lang w:val="it-IT"/>
        </w:rPr>
        <w:t>tantomeno comprovato, 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esistenza di specifici profili di eccesso di potere che rendano illegittima la concreta scelta dell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Amministrazione civica di disporre dell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 xml:space="preserve">immobile di cui </w:t>
      </w:r>
      <w:r>
        <w:rPr>
          <w:rFonts w:ascii="Times Roman" w:hAnsi="Times Roman" w:hint="default"/>
          <w:sz w:val="40"/>
          <w:szCs w:val="40"/>
          <w:rtl w:val="0"/>
          <w:lang w:val="it-IT"/>
        </w:rPr>
        <w:t xml:space="preserve">è </w:t>
      </w:r>
      <w:r>
        <w:rPr>
          <w:rFonts w:ascii="Times Roman" w:hAnsi="Times Roman"/>
          <w:sz w:val="40"/>
          <w:szCs w:val="40"/>
          <w:rtl w:val="0"/>
          <w:lang w:val="it-IT"/>
        </w:rPr>
        <w:t xml:space="preserve">causa nel senso sopra illustrato, restando del tutto non dimostrato che </w:t>
      </w:r>
      <w:r>
        <w:rPr>
          <w:rFonts w:ascii="Times Roman" w:hAnsi="Times Roman" w:hint="default"/>
          <w:sz w:val="40"/>
          <w:szCs w:val="40"/>
          <w:rtl w:val="1"/>
          <w:lang w:val="ar-SA" w:bidi="ar-SA"/>
        </w:rPr>
        <w:t>“</w:t>
      </w:r>
      <w:r>
        <w:rPr>
          <w:rFonts w:ascii="Times Roman" w:hAnsi="Times Roman"/>
          <w:i w:val="1"/>
          <w:iCs w:val="1"/>
          <w:sz w:val="40"/>
          <w:szCs w:val="40"/>
          <w:rtl w:val="0"/>
        </w:rPr>
        <w:t>l</w:t>
      </w:r>
      <w:r>
        <w:rPr>
          <w:rFonts w:ascii="Times Roman" w:hAnsi="Times Roman" w:hint="default"/>
          <w:i w:val="1"/>
          <w:iCs w:val="1"/>
          <w:sz w:val="40"/>
          <w:szCs w:val="40"/>
          <w:rtl w:val="1"/>
        </w:rPr>
        <w:t>’</w:t>
      </w:r>
      <w:r>
        <w:rPr>
          <w:rFonts w:ascii="Times Roman" w:hAnsi="Times Roman"/>
          <w:i w:val="1"/>
          <w:iCs w:val="1"/>
          <w:sz w:val="40"/>
          <w:szCs w:val="40"/>
          <w:rtl w:val="0"/>
          <w:lang w:val="it-IT"/>
        </w:rPr>
        <w:t>utilizzo dell</w:t>
      </w:r>
      <w:r>
        <w:rPr>
          <w:rFonts w:ascii="Times Roman" w:hAnsi="Times Roman" w:hint="default"/>
          <w:i w:val="1"/>
          <w:iCs w:val="1"/>
          <w:sz w:val="40"/>
          <w:szCs w:val="40"/>
          <w:rtl w:val="1"/>
        </w:rPr>
        <w:t>’</w:t>
      </w:r>
      <w:r>
        <w:rPr>
          <w:rFonts w:ascii="Times Roman" w:hAnsi="Times Roman"/>
          <w:i w:val="1"/>
          <w:iCs w:val="1"/>
          <w:sz w:val="40"/>
          <w:szCs w:val="40"/>
          <w:rtl w:val="0"/>
          <w:lang w:val="it-IT"/>
        </w:rPr>
        <w:t xml:space="preserve">area da parte del Club Vela </w:t>
      </w:r>
      <w:r>
        <w:rPr>
          <w:rFonts w:ascii="Times Roman" w:hAnsi="Times Roman" w:hint="default"/>
          <w:i w:val="1"/>
          <w:iCs w:val="1"/>
          <w:sz w:val="40"/>
          <w:szCs w:val="40"/>
          <w:rtl w:val="0"/>
          <w:lang w:val="it-IT"/>
        </w:rPr>
        <w:t xml:space="preserve">è </w:t>
      </w:r>
      <w:r>
        <w:rPr>
          <w:rFonts w:ascii="Times Roman" w:hAnsi="Times Roman"/>
          <w:i w:val="1"/>
          <w:iCs w:val="1"/>
          <w:sz w:val="40"/>
          <w:szCs w:val="40"/>
          <w:rtl w:val="0"/>
        </w:rPr>
        <w:t>l</w:t>
      </w:r>
      <w:r>
        <w:rPr>
          <w:rFonts w:ascii="Times Roman" w:hAnsi="Times Roman" w:hint="default"/>
          <w:i w:val="1"/>
          <w:iCs w:val="1"/>
          <w:sz w:val="40"/>
          <w:szCs w:val="40"/>
          <w:rtl w:val="1"/>
        </w:rPr>
        <w:t>’</w:t>
      </w:r>
      <w:r>
        <w:rPr>
          <w:rFonts w:ascii="Times Roman" w:hAnsi="Times Roman"/>
          <w:i w:val="1"/>
          <w:iCs w:val="1"/>
          <w:sz w:val="40"/>
          <w:szCs w:val="40"/>
          <w:rtl w:val="0"/>
          <w:lang w:val="it-IT"/>
        </w:rPr>
        <w:t>unico strumento che consente un efficace ed economico sfruttamento della zona</w:t>
      </w:r>
      <w:r>
        <w:rPr>
          <w:rFonts w:ascii="Times Roman" w:hAnsi="Times Roman" w:hint="default"/>
          <w:sz w:val="40"/>
          <w:szCs w:val="40"/>
          <w:rtl w:val="0"/>
        </w:rPr>
        <w:t>”</w:t>
      </w:r>
      <w:r>
        <w:rPr>
          <w:rFonts w:ascii="Times Roman" w:hAnsi="Times Roman"/>
          <w:sz w:val="40"/>
          <w:szCs w:val="40"/>
          <w:rtl w:val="0"/>
        </w:rPr>
        <w:t>;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Ritenuto, infine, che nemmeno 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ultimo motivo di ricorso possa trovare accoglimento, dato che, come ben rilevato dalla difesa dell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Amministrazione resistente, il principio di c.d. sussidiariet</w:t>
      </w:r>
      <w:r>
        <w:rPr>
          <w:rFonts w:ascii="Times Roman" w:hAnsi="Times Roman" w:hint="default"/>
          <w:sz w:val="40"/>
          <w:szCs w:val="40"/>
          <w:rtl w:val="0"/>
        </w:rPr>
        <w:t xml:space="preserve">à </w:t>
      </w:r>
      <w:r>
        <w:rPr>
          <w:rFonts w:ascii="Times Roman" w:hAnsi="Times Roman"/>
          <w:sz w:val="40"/>
          <w:szCs w:val="40"/>
          <w:rtl w:val="0"/>
          <w:lang w:val="it-IT"/>
        </w:rPr>
        <w:t>orizzontale, di cui all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 xml:space="preserve">art. 118, comma 4, Cost., appare aver informato proprio la scelta gestoria cui lo sgombero oggi impugnato </w:t>
      </w:r>
      <w:r>
        <w:rPr>
          <w:rFonts w:ascii="Times Roman" w:hAnsi="Times Roman" w:hint="default"/>
          <w:sz w:val="40"/>
          <w:szCs w:val="40"/>
          <w:rtl w:val="0"/>
          <w:lang w:val="it-IT"/>
        </w:rPr>
        <w:t xml:space="preserve">è </w:t>
      </w:r>
      <w:r>
        <w:rPr>
          <w:rFonts w:ascii="Times Roman" w:hAnsi="Times Roman"/>
          <w:sz w:val="40"/>
          <w:szCs w:val="40"/>
          <w:rtl w:val="0"/>
          <w:lang w:val="it-IT"/>
        </w:rPr>
        <w:t>ancillare, atteso che all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esito della prefata procedura selettiva per 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individuazione di un nuovo subconcessionario, 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 xml:space="preserve">area demaniale marittima </w:t>
      </w:r>
      <w:r>
        <w:rPr>
          <w:rFonts w:ascii="Times Roman" w:hAnsi="Times Roman"/>
          <w:i w:val="1"/>
          <w:iCs w:val="1"/>
          <w:sz w:val="40"/>
          <w:szCs w:val="40"/>
          <w:rtl w:val="0"/>
          <w:lang w:val="pt-PT"/>
        </w:rPr>
        <w:t>de qua</w:t>
      </w:r>
      <w:r>
        <w:rPr>
          <w:rFonts w:ascii="Times Roman" w:hAnsi="Times Roman"/>
          <w:sz w:val="40"/>
          <w:szCs w:val="40"/>
          <w:rtl w:val="0"/>
          <w:lang w:val="it-IT"/>
        </w:rPr>
        <w:t xml:space="preserve"> sar</w:t>
      </w:r>
      <w:r>
        <w:rPr>
          <w:rFonts w:ascii="Times Roman" w:hAnsi="Times Roman" w:hint="default"/>
          <w:sz w:val="40"/>
          <w:szCs w:val="40"/>
          <w:rtl w:val="0"/>
        </w:rPr>
        <w:t xml:space="preserve">à </w:t>
      </w:r>
      <w:r>
        <w:rPr>
          <w:rFonts w:ascii="Times Roman" w:hAnsi="Times Roman"/>
          <w:sz w:val="40"/>
          <w:szCs w:val="40"/>
          <w:rtl w:val="0"/>
          <w:lang w:val="it-IT"/>
        </w:rPr>
        <w:t>oggetto di importanti interventi di manutenzione e miglioria a cura del privato;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Ritenuto che, stanti le particolarit</w:t>
      </w:r>
      <w:r>
        <w:rPr>
          <w:rFonts w:ascii="Times Roman" w:hAnsi="Times Roman" w:hint="default"/>
          <w:sz w:val="40"/>
          <w:szCs w:val="40"/>
          <w:rtl w:val="0"/>
        </w:rPr>
        <w:t xml:space="preserve">à </w:t>
      </w:r>
      <w:r>
        <w:rPr>
          <w:rFonts w:ascii="Times Roman" w:hAnsi="Times Roman"/>
          <w:sz w:val="40"/>
          <w:szCs w:val="40"/>
          <w:rtl w:val="0"/>
          <w:lang w:val="it-IT"/>
        </w:rPr>
        <w:t>del caso, sussistano giusti motivi per disporre la compensazione delle spese di giudizio;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P.Q.M.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Il Tribunale amministrativo regionale per il Lazio, sezione staccata di Latina, definitivamente pronunciando sul ricorso, come in epigrafe proposto, lo rigetta.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Compensa le spese di giudizio.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Ordina che la presente sentenza sia eseguita dall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</w:rPr>
        <w:t>Autorit</w:t>
      </w:r>
      <w:r>
        <w:rPr>
          <w:rFonts w:ascii="Times Roman" w:hAnsi="Times Roman" w:hint="default"/>
          <w:sz w:val="40"/>
          <w:szCs w:val="40"/>
          <w:rtl w:val="0"/>
        </w:rPr>
        <w:t xml:space="preserve">à </w:t>
      </w:r>
      <w:r>
        <w:rPr>
          <w:rFonts w:ascii="Times Roman" w:hAnsi="Times Roman"/>
          <w:sz w:val="40"/>
          <w:szCs w:val="40"/>
          <w:rtl w:val="0"/>
          <w:lang w:val="it-IT"/>
        </w:rPr>
        <w:t>amministrativa.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Cos</w:t>
      </w:r>
      <w:r>
        <w:rPr>
          <w:rFonts w:ascii="Times Roman" w:hAnsi="Times Roman" w:hint="default"/>
          <w:sz w:val="40"/>
          <w:szCs w:val="40"/>
          <w:rtl w:val="0"/>
        </w:rPr>
        <w:t xml:space="preserve">ì </w:t>
      </w:r>
      <w:r>
        <w:rPr>
          <w:rFonts w:ascii="Times Roman" w:hAnsi="Times Roman"/>
          <w:sz w:val="40"/>
          <w:szCs w:val="40"/>
          <w:rtl w:val="0"/>
          <w:lang w:val="it-IT"/>
        </w:rPr>
        <w:t>deciso in Latina nella camera di consiglio del giorno 13 gennaio 2021, tenutasi mediante collegamento da remoto in videoconferenza ai sensi dell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art. 25, d.l. 28 ottobre 2020 n. 137, conv. nella l. 18 dicembre 2020 n. 176, con l</w:t>
      </w:r>
      <w:r>
        <w:rPr>
          <w:rFonts w:ascii="Times Roman" w:hAnsi="Times Roman" w:hint="default"/>
          <w:sz w:val="40"/>
          <w:szCs w:val="40"/>
          <w:rtl w:val="1"/>
        </w:rPr>
        <w:t>’</w:t>
      </w:r>
      <w:r>
        <w:rPr>
          <w:rFonts w:ascii="Times Roman" w:hAnsi="Times Roman"/>
          <w:sz w:val="40"/>
          <w:szCs w:val="40"/>
          <w:rtl w:val="0"/>
          <w:lang w:val="it-IT"/>
        </w:rPr>
        <w:t>intervento dei magistrati: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40"/>
          <w:szCs w:val="40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755"/>
        <w:jc w:val="left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es-ES_tradnl"/>
        </w:rPr>
        <w:t>Antonio Vinciguerra, Presidente</w:t>
      </w:r>
    </w:p>
    <w:p>
      <w:pPr>
        <w:pStyle w:val="Di default"/>
        <w:bidi w:val="0"/>
        <w:spacing w:before="0" w:line="240" w:lineRule="auto"/>
        <w:ind w:left="0" w:right="0" w:firstLine="755"/>
        <w:jc w:val="left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Ivo Correale, Consigliere</w:t>
      </w:r>
    </w:p>
    <w:p>
      <w:pPr>
        <w:pStyle w:val="Di default"/>
        <w:bidi w:val="0"/>
        <w:spacing w:before="0" w:line="240" w:lineRule="auto"/>
        <w:ind w:left="0" w:right="0" w:firstLine="755"/>
        <w:jc w:val="left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it-IT"/>
        </w:rPr>
        <w:t>Valerio Torano, Referendario, Estensore</w:t>
      </w:r>
    </w:p>
    <w:p>
      <w:pPr>
        <w:pStyle w:val="Di default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i default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i default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i default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tbl>
      <w:tblPr>
        <w:tblW w:w="963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25"/>
        <w:gridCol w:w="63"/>
        <w:gridCol w:w="5350"/>
      </w:tblGrid>
      <w:tr>
        <w:tblPrEx>
          <w:shd w:val="clear" w:color="auto" w:fill="auto"/>
        </w:tblPrEx>
        <w:trPr>
          <w:trHeight w:val="380" w:hRule="atLeast"/>
        </w:trPr>
        <w:tc>
          <w:tcPr>
            <w:tcW w:type="dxa" w:w="42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5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42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5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31" w:hRule="atLeast"/>
        </w:trPr>
        <w:tc>
          <w:tcPr>
            <w:tcW w:type="dxa" w:w="42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ile tabel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37"/>
                <w:szCs w:val="37"/>
                <w:rtl w:val="0"/>
              </w:rPr>
              <w:t>L'ESTENSORE</w:t>
            </w:r>
          </w:p>
        </w:tc>
        <w:tc>
          <w:tcPr>
            <w:tcW w:type="dxa" w:w="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5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ile tabel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37"/>
                <w:szCs w:val="37"/>
                <w:rtl w:val="0"/>
              </w:rPr>
              <w:t>IL PRESIDENTE</w:t>
            </w:r>
          </w:p>
        </w:tc>
      </w:tr>
      <w:tr>
        <w:tblPrEx>
          <w:shd w:val="clear" w:color="auto" w:fill="auto"/>
        </w:tblPrEx>
        <w:trPr>
          <w:trHeight w:val="431" w:hRule="atLeast"/>
        </w:trPr>
        <w:tc>
          <w:tcPr>
            <w:tcW w:type="dxa" w:w="42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ile tabel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37"/>
                <w:szCs w:val="37"/>
                <w:rtl w:val="0"/>
              </w:rPr>
              <w:t>Valerio Torano</w:t>
            </w:r>
          </w:p>
        </w:tc>
        <w:tc>
          <w:tcPr>
            <w:tcW w:type="dxa" w:w="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5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ile tabel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37"/>
                <w:szCs w:val="37"/>
                <w:rtl w:val="0"/>
              </w:rPr>
              <w:t>Antonio Vinciguerra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42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5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42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5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42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5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42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5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42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5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sz w:val="40"/>
          <w:szCs w:val="40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</w:rPr>
        <w:t>IL SEGRETARIO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sz w:val="32"/>
          <w:szCs w:val="32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